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0AE1B" w14:textId="397C471A" w:rsidR="00AE51BA" w:rsidRPr="00C13E41" w:rsidRDefault="00AE51BA" w:rsidP="009801AB">
      <w:pPr>
        <w:jc w:val="center"/>
        <w:outlineLvl w:val="0"/>
        <w:rPr>
          <w:color w:val="000000" w:themeColor="text1"/>
          <w:sz w:val="28"/>
          <w:szCs w:val="28"/>
        </w:rPr>
      </w:pPr>
      <w:r w:rsidRPr="00C13E41">
        <w:rPr>
          <w:color w:val="000000" w:themeColor="text1"/>
          <w:sz w:val="28"/>
          <w:szCs w:val="28"/>
        </w:rPr>
        <w:t>KHOA PHÁP LUẬT QUỐC TẾ</w:t>
      </w:r>
    </w:p>
    <w:p w14:paraId="64243259" w14:textId="77777777" w:rsidR="00AE51BA" w:rsidRPr="00C13E41" w:rsidRDefault="00AE51BA" w:rsidP="00AE51BA">
      <w:pPr>
        <w:jc w:val="center"/>
        <w:rPr>
          <w:b/>
          <w:color w:val="000000" w:themeColor="text1"/>
        </w:rPr>
      </w:pPr>
      <w:r w:rsidRPr="00C13E41">
        <w:rPr>
          <w:b/>
          <w:color w:val="000000" w:themeColor="text1"/>
        </w:rPr>
        <w:t>BỘ MÔN PHÁP LUẬT THƯƠNG MẠI HÀNG HÓA VÀ DỊCH VỤ QUỐC TẾ</w:t>
      </w:r>
    </w:p>
    <w:p w14:paraId="5BAC79F0" w14:textId="77777777" w:rsidR="00AE51BA" w:rsidRPr="00C13E41" w:rsidRDefault="00AE51BA" w:rsidP="00AE51BA">
      <w:pPr>
        <w:jc w:val="center"/>
        <w:rPr>
          <w:b/>
          <w:color w:val="000000" w:themeColor="text1"/>
        </w:rPr>
      </w:pPr>
      <w:r w:rsidRPr="00C13E41">
        <w:rPr>
          <w:b/>
          <w:color w:val="000000" w:themeColor="text1"/>
        </w:rPr>
        <w:t>*****</w:t>
      </w:r>
    </w:p>
    <w:p w14:paraId="02CEE4D3" w14:textId="77777777" w:rsidR="00AE51BA" w:rsidRPr="00C13E41" w:rsidRDefault="00AE51BA" w:rsidP="00AE51BA">
      <w:pPr>
        <w:jc w:val="center"/>
        <w:rPr>
          <w:b/>
          <w:color w:val="000000" w:themeColor="text1"/>
          <w:sz w:val="28"/>
          <w:szCs w:val="28"/>
        </w:rPr>
      </w:pPr>
    </w:p>
    <w:p w14:paraId="562D3710" w14:textId="77777777" w:rsidR="00AE51BA" w:rsidRPr="00C13E41" w:rsidRDefault="00AE51BA" w:rsidP="009801AB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C13E41">
        <w:rPr>
          <w:b/>
          <w:color w:val="000000" w:themeColor="text1"/>
          <w:sz w:val="28"/>
          <w:szCs w:val="28"/>
        </w:rPr>
        <w:t>DANH MỤC DỰ KIẾN ĐỀ TÀI KHÓA LUẬN TỐT NGHIỆP</w:t>
      </w:r>
    </w:p>
    <w:p w14:paraId="1FA63470" w14:textId="741DE237" w:rsidR="00AE51BA" w:rsidRPr="00C13E41" w:rsidRDefault="00AE51BA" w:rsidP="009801AB">
      <w:pPr>
        <w:jc w:val="center"/>
        <w:outlineLvl w:val="0"/>
        <w:rPr>
          <w:b/>
          <w:color w:val="000000" w:themeColor="text1"/>
          <w:sz w:val="28"/>
          <w:szCs w:val="28"/>
        </w:rPr>
      </w:pPr>
      <w:bookmarkStart w:id="0" w:name="_GoBack"/>
      <w:proofErr w:type="spellStart"/>
      <w:r w:rsidRPr="00C13E41">
        <w:rPr>
          <w:b/>
          <w:color w:val="000000" w:themeColor="text1"/>
          <w:sz w:val="28"/>
          <w:szCs w:val="28"/>
        </w:rPr>
        <w:t>Khóa</w:t>
      </w:r>
      <w:proofErr w:type="spellEnd"/>
      <w:r w:rsidRPr="00C13E41">
        <w:rPr>
          <w:b/>
          <w:color w:val="000000" w:themeColor="text1"/>
          <w:sz w:val="28"/>
          <w:szCs w:val="28"/>
        </w:rPr>
        <w:t xml:space="preserve"> </w:t>
      </w:r>
      <w:r w:rsidRPr="00C13E41">
        <w:rPr>
          <w:b/>
          <w:color w:val="000000" w:themeColor="text1"/>
          <w:sz w:val="28"/>
          <w:szCs w:val="28"/>
          <w:lang w:val="vi-VN"/>
        </w:rPr>
        <w:t>4</w:t>
      </w:r>
      <w:r w:rsidR="00F2573A">
        <w:rPr>
          <w:b/>
          <w:color w:val="000000" w:themeColor="text1"/>
          <w:sz w:val="28"/>
          <w:szCs w:val="28"/>
          <w:lang w:val="vi-VN"/>
        </w:rPr>
        <w:t>7</w:t>
      </w:r>
      <w:r w:rsidRPr="00C13E41">
        <w:rPr>
          <w:b/>
          <w:color w:val="000000" w:themeColor="text1"/>
          <w:sz w:val="28"/>
          <w:szCs w:val="28"/>
        </w:rPr>
        <w:t xml:space="preserve">– </w:t>
      </w:r>
      <w:proofErr w:type="spellStart"/>
      <w:r w:rsidRPr="00C13E41">
        <w:rPr>
          <w:b/>
          <w:color w:val="000000" w:themeColor="text1"/>
          <w:sz w:val="28"/>
          <w:szCs w:val="28"/>
        </w:rPr>
        <w:t>Ngành</w:t>
      </w:r>
      <w:proofErr w:type="spellEnd"/>
      <w:r w:rsidRPr="00C13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13E41">
        <w:rPr>
          <w:b/>
          <w:color w:val="000000" w:themeColor="text1"/>
          <w:sz w:val="28"/>
          <w:szCs w:val="28"/>
        </w:rPr>
        <w:t>Luật</w:t>
      </w:r>
      <w:proofErr w:type="spellEnd"/>
      <w:r w:rsidRPr="00C13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13E41">
        <w:rPr>
          <w:b/>
          <w:color w:val="000000" w:themeColor="text1"/>
          <w:sz w:val="28"/>
          <w:szCs w:val="28"/>
        </w:rPr>
        <w:t>thương</w:t>
      </w:r>
      <w:proofErr w:type="spellEnd"/>
      <w:r w:rsidRPr="00C13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13E41">
        <w:rPr>
          <w:b/>
          <w:color w:val="000000" w:themeColor="text1"/>
          <w:sz w:val="28"/>
          <w:szCs w:val="28"/>
        </w:rPr>
        <w:t>mại</w:t>
      </w:r>
      <w:proofErr w:type="spellEnd"/>
      <w:r w:rsidRPr="00C13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13E41">
        <w:rPr>
          <w:b/>
          <w:color w:val="000000" w:themeColor="text1"/>
          <w:sz w:val="28"/>
          <w:szCs w:val="28"/>
        </w:rPr>
        <w:t>quốc</w:t>
      </w:r>
      <w:proofErr w:type="spellEnd"/>
      <w:r w:rsidRPr="00C13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13E41">
        <w:rPr>
          <w:b/>
          <w:color w:val="000000" w:themeColor="text1"/>
          <w:sz w:val="28"/>
          <w:szCs w:val="28"/>
        </w:rPr>
        <w:t>tế</w:t>
      </w:r>
      <w:proofErr w:type="spellEnd"/>
    </w:p>
    <w:p w14:paraId="46366C14" w14:textId="07AE732E" w:rsidR="00AE51BA" w:rsidRPr="00C13E41" w:rsidRDefault="004C0E80" w:rsidP="004C0E80">
      <w:pPr>
        <w:tabs>
          <w:tab w:val="left" w:pos="739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091"/>
        <w:gridCol w:w="2977"/>
      </w:tblGrid>
      <w:tr w:rsidR="00C13E41" w:rsidRPr="00C13E41" w14:paraId="7B8F7AA7" w14:textId="77777777" w:rsidTr="00CB60F0">
        <w:tc>
          <w:tcPr>
            <w:tcW w:w="708" w:type="dxa"/>
          </w:tcPr>
          <w:p w14:paraId="30DD085E" w14:textId="77777777" w:rsidR="00AE51BA" w:rsidRPr="00C13E41" w:rsidRDefault="00AE51BA" w:rsidP="00AB28BC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13E41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6091" w:type="dxa"/>
          </w:tcPr>
          <w:p w14:paraId="2A96D478" w14:textId="77777777" w:rsidR="00AE51BA" w:rsidRPr="00C13E41" w:rsidRDefault="00AE51BA" w:rsidP="00AB28BC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13E41">
              <w:rPr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C13E4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3E41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13E4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3E41">
              <w:rPr>
                <w:b/>
                <w:color w:val="000000" w:themeColor="text1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2977" w:type="dxa"/>
          </w:tcPr>
          <w:p w14:paraId="7761BCA8" w14:textId="77777777" w:rsidR="00AE51BA" w:rsidRPr="00C13E41" w:rsidRDefault="00AE51BA" w:rsidP="00AB28BC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13E41">
              <w:rPr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C13E4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3E41">
              <w:rPr>
                <w:b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C13E4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3E41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C13E4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13E41">
              <w:rPr>
                <w:b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C13E41">
              <w:rPr>
                <w:b/>
                <w:color w:val="000000" w:themeColor="text1"/>
                <w:sz w:val="26"/>
                <w:szCs w:val="26"/>
              </w:rPr>
              <w:t xml:space="preserve"> KLTN </w:t>
            </w:r>
          </w:p>
        </w:tc>
      </w:tr>
      <w:tr w:rsidR="00C13E41" w:rsidRPr="00C13E41" w14:paraId="128C72FE" w14:textId="77777777" w:rsidTr="00CB60F0">
        <w:tc>
          <w:tcPr>
            <w:tcW w:w="708" w:type="dxa"/>
          </w:tcPr>
          <w:p w14:paraId="4A616229" w14:textId="77777777" w:rsidR="00AE51BA" w:rsidRPr="00C13E41" w:rsidRDefault="00AE51BA" w:rsidP="00AE51BA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14FFA4BA" w14:textId="77777777" w:rsidR="00AE51BA" w:rsidRPr="00C13E41" w:rsidRDefault="00AE51BA" w:rsidP="00AB28BC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ngoại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2017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 –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thách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E5F2147" w14:textId="6F377D12" w:rsidR="00AE51BA" w:rsidRPr="00C13E41" w:rsidRDefault="00AE51BA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7B85CB51" w14:textId="77777777" w:rsidTr="00CB60F0">
        <w:tc>
          <w:tcPr>
            <w:tcW w:w="708" w:type="dxa"/>
          </w:tcPr>
          <w:p w14:paraId="312437B7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557A3F38" w14:textId="77777777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nhập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tiễn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DD83C15" w14:textId="7830F778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2B2B04EE" w14:textId="77777777" w:rsidTr="00CB60F0">
        <w:tc>
          <w:tcPr>
            <w:tcW w:w="708" w:type="dxa"/>
          </w:tcPr>
          <w:p w14:paraId="56D5CC86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6314124F" w14:textId="77777777" w:rsidR="00A368CD" w:rsidRPr="00C13E41" w:rsidRDefault="00A368CD" w:rsidP="00A368CD">
            <w:pPr>
              <w:spacing w:before="120" w:line="360" w:lineRule="exact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C13E41">
              <w:rPr>
                <w:color w:val="000000" w:themeColor="text1"/>
                <w:sz w:val="28"/>
                <w:szCs w:val="28"/>
                <w:lang w:val="pt-BR"/>
              </w:rPr>
              <w:t>Hợp đồng mẫu trong thương mại quốc tế - những vấn đề lý luận và thực tiễn.</w:t>
            </w:r>
          </w:p>
        </w:tc>
        <w:tc>
          <w:tcPr>
            <w:tcW w:w="2977" w:type="dxa"/>
          </w:tcPr>
          <w:p w14:paraId="140F548B" w14:textId="5B64AE79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44AC0307" w14:textId="77777777" w:rsidTr="00CB60F0">
        <w:tc>
          <w:tcPr>
            <w:tcW w:w="708" w:type="dxa"/>
          </w:tcPr>
          <w:p w14:paraId="37B25552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4F7FF50B" w14:textId="5286BDB2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201</w:t>
            </w: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6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 (PICC 201</w:t>
            </w: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6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) –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AE8810E" w14:textId="7BA09DB2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292B7C0C" w14:textId="77777777" w:rsidTr="00CB60F0">
        <w:tc>
          <w:tcPr>
            <w:tcW w:w="708" w:type="dxa"/>
          </w:tcPr>
          <w:p w14:paraId="15FCF0A6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23A8C043" w14:textId="122AF45E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1980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(CISG)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201</w:t>
            </w: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6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 (PICC 201</w:t>
            </w: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6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) –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khía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1BE48769" w14:textId="219754AE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44795F84" w14:textId="77777777" w:rsidTr="00CB60F0">
        <w:tc>
          <w:tcPr>
            <w:tcW w:w="708" w:type="dxa"/>
          </w:tcPr>
          <w:p w14:paraId="044294FB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095A12A4" w14:textId="50403715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chung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Âu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1980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- M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khía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F89CC8E" w14:textId="009B1AEA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10EDD9E0" w14:textId="77777777" w:rsidTr="00CB60F0">
        <w:tc>
          <w:tcPr>
            <w:tcW w:w="708" w:type="dxa"/>
          </w:tcPr>
          <w:p w14:paraId="2C13D584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0FF2E43A" w14:textId="73849168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rủi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sang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CISG, INCOTERMS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2977" w:type="dxa"/>
          </w:tcPr>
          <w:p w14:paraId="742A2C2E" w14:textId="718007C4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5795358B" w14:textId="77777777" w:rsidTr="00CB60F0">
        <w:tc>
          <w:tcPr>
            <w:tcW w:w="708" w:type="dxa"/>
          </w:tcPr>
          <w:p w14:paraId="70EAD8AD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7C874C05" w14:textId="736E60E4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miễn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trách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qui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CISG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2977" w:type="dxa"/>
          </w:tcPr>
          <w:p w14:paraId="6D7C60A9" w14:textId="1BD6115D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368CD" w:rsidRPr="00C13E41" w14:paraId="046EACAD" w14:textId="77777777" w:rsidTr="00CB60F0">
        <w:tc>
          <w:tcPr>
            <w:tcW w:w="708" w:type="dxa"/>
          </w:tcPr>
          <w:p w14:paraId="5C90A5D2" w14:textId="77777777" w:rsidR="00A368CD" w:rsidRPr="00C13E41" w:rsidRDefault="00A368CD" w:rsidP="00A368CD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34365A82" w14:textId="28AE3D14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tiễn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Kinh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Nam.</w:t>
            </w:r>
          </w:p>
        </w:tc>
        <w:tc>
          <w:tcPr>
            <w:tcW w:w="2977" w:type="dxa"/>
          </w:tcPr>
          <w:p w14:paraId="243AF250" w14:textId="7E0EFB11" w:rsidR="00A368CD" w:rsidRPr="00C13E41" w:rsidRDefault="00A368CD" w:rsidP="00A368CD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2386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7623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13E41" w:rsidRPr="00C13E41" w14:paraId="002F17FD" w14:textId="77777777" w:rsidTr="00CB60F0">
        <w:tc>
          <w:tcPr>
            <w:tcW w:w="708" w:type="dxa"/>
          </w:tcPr>
          <w:p w14:paraId="3E844F41" w14:textId="77777777" w:rsidR="005168FF" w:rsidRPr="00C13E41" w:rsidRDefault="005168FF" w:rsidP="005168FF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74E14BCC" w14:textId="36F3FE47" w:rsidR="005168FF" w:rsidRPr="00C13E41" w:rsidRDefault="005168FF" w:rsidP="005168FF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biện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tránh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rủi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225D37D" w14:textId="70F3EA52" w:rsidR="005168FF" w:rsidRPr="00C13E41" w:rsidRDefault="005168FF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Thanh toán quốc tế</w:t>
            </w:r>
          </w:p>
        </w:tc>
      </w:tr>
      <w:tr w:rsidR="00C13E41" w:rsidRPr="00C13E41" w14:paraId="7231E3F8" w14:textId="77777777" w:rsidTr="00CB60F0">
        <w:tc>
          <w:tcPr>
            <w:tcW w:w="708" w:type="dxa"/>
          </w:tcPr>
          <w:p w14:paraId="5D2325F2" w14:textId="77777777" w:rsidR="005168FF" w:rsidRPr="00C13E41" w:rsidRDefault="005168FF" w:rsidP="005168FF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2873AB27" w14:textId="77777777" w:rsidR="005168FF" w:rsidRPr="00C13E41" w:rsidRDefault="005168FF" w:rsidP="005168FF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nhờ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2977" w:type="dxa"/>
          </w:tcPr>
          <w:p w14:paraId="7879C2C4" w14:textId="097B409A" w:rsidR="005168FF" w:rsidRPr="00C13E41" w:rsidRDefault="005168FF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Thanh toán quốc tế</w:t>
            </w:r>
          </w:p>
        </w:tc>
      </w:tr>
      <w:tr w:rsidR="00C13E41" w:rsidRPr="00C13E41" w14:paraId="16B6B365" w14:textId="77777777" w:rsidTr="00CB60F0">
        <w:tc>
          <w:tcPr>
            <w:tcW w:w="708" w:type="dxa"/>
          </w:tcPr>
          <w:p w14:paraId="18988FAB" w14:textId="77777777" w:rsidR="00A94B22" w:rsidRPr="00C13E41" w:rsidRDefault="00A94B22" w:rsidP="00A94B22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2FCC652B" w14:textId="71BF33C4" w:rsidR="00A94B22" w:rsidRPr="00C13E41" w:rsidRDefault="00A94B22" w:rsidP="00F839D9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2977" w:type="dxa"/>
          </w:tcPr>
          <w:p w14:paraId="4F51F87D" w14:textId="4F31D360" w:rsidR="00A94B22" w:rsidRPr="00C13E41" w:rsidRDefault="00A94B22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Thanh toán quốc tế</w:t>
            </w:r>
          </w:p>
        </w:tc>
      </w:tr>
      <w:tr w:rsidR="00C13E41" w:rsidRPr="00C13E41" w14:paraId="1F5F8D65" w14:textId="77777777" w:rsidTr="00CB60F0">
        <w:tc>
          <w:tcPr>
            <w:tcW w:w="708" w:type="dxa"/>
          </w:tcPr>
          <w:p w14:paraId="7F038A37" w14:textId="77777777" w:rsidR="00A94B22" w:rsidRPr="00C13E41" w:rsidRDefault="00A94B22" w:rsidP="00A94B22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45DA5A30" w14:textId="77777777" w:rsidR="00A94B22" w:rsidRPr="00C13E41" w:rsidRDefault="00A94B22" w:rsidP="00F839D9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chỉnh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tiễn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64C2C72A" w14:textId="3AD2FD24" w:rsidR="00A94B22" w:rsidRPr="00C13E41" w:rsidRDefault="00A94B22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lang w:val="vi-VN"/>
              </w:rPr>
              <w:t xml:space="preserve"> toán quốc tế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13E41" w:rsidRPr="00C13E41" w14:paraId="2AA1D376" w14:textId="77777777" w:rsidTr="00CB60F0">
        <w:tc>
          <w:tcPr>
            <w:tcW w:w="708" w:type="dxa"/>
          </w:tcPr>
          <w:p w14:paraId="2FC02E30" w14:textId="77777777" w:rsidR="00A94B22" w:rsidRPr="00C13E41" w:rsidRDefault="00A94B22" w:rsidP="00A94B22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7AB8C0C0" w14:textId="3CF2B190" w:rsidR="00A94B22" w:rsidRPr="00C13E41" w:rsidRDefault="00A94B22" w:rsidP="00F839D9">
            <w:pPr>
              <w:pStyle w:val="NormalWeb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Nguyên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tắc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độc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lập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̛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tín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dụng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toán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quốc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tê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́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bằng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phương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thức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tín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dụng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chứng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̀ </w:t>
            </w:r>
          </w:p>
        </w:tc>
        <w:tc>
          <w:tcPr>
            <w:tcW w:w="2977" w:type="dxa"/>
          </w:tcPr>
          <w:p w14:paraId="1CC7735F" w14:textId="4CB013D1" w:rsidR="00A94B22" w:rsidRPr="00C13E41" w:rsidRDefault="00A94B22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lang w:val="vi-VN"/>
              </w:rPr>
              <w:t xml:space="preserve"> toán quốc tế</w:t>
            </w:r>
          </w:p>
        </w:tc>
      </w:tr>
      <w:tr w:rsidR="00C13E41" w:rsidRPr="00C13E41" w14:paraId="7782480B" w14:textId="77777777" w:rsidTr="00CB60F0">
        <w:tc>
          <w:tcPr>
            <w:tcW w:w="708" w:type="dxa"/>
          </w:tcPr>
          <w:p w14:paraId="34360B46" w14:textId="77777777" w:rsidR="00A94B22" w:rsidRPr="00C13E41" w:rsidRDefault="00A94B22" w:rsidP="00A94B22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185B4CAE" w14:textId="2D2FEDD0" w:rsidR="00A94B22" w:rsidRPr="00C13E41" w:rsidRDefault="00A94B22" w:rsidP="00F839D9">
            <w:pPr>
              <w:shd w:val="clear" w:color="auto" w:fill="FFFFFF"/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C13E41">
              <w:rPr>
                <w:color w:val="000000" w:themeColor="text1"/>
                <w:sz w:val="28"/>
                <w:szCs w:val="28"/>
              </w:rPr>
              <w:t xml:space="preserve">Lex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Mercatoria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tiễn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199774C" w14:textId="7483DF53" w:rsidR="00A94B22" w:rsidRPr="00C13E41" w:rsidRDefault="00A94B22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Tập quán thương mại quốc tế</w:t>
            </w:r>
          </w:p>
        </w:tc>
      </w:tr>
      <w:tr w:rsidR="00C13E41" w:rsidRPr="00C13E41" w14:paraId="372063D3" w14:textId="77777777" w:rsidTr="00CB60F0">
        <w:tc>
          <w:tcPr>
            <w:tcW w:w="708" w:type="dxa"/>
          </w:tcPr>
          <w:p w14:paraId="253D89BA" w14:textId="77777777" w:rsidR="00A94B22" w:rsidRPr="00C13E41" w:rsidRDefault="00A94B22" w:rsidP="00A94B22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44D96E4D" w14:textId="75B37D75" w:rsidR="00A94B22" w:rsidRPr="00C13E41" w:rsidRDefault="00CD3592" w:rsidP="00F839D9">
            <w:pPr>
              <w:shd w:val="clear" w:color="auto" w:fill="FFFFFF"/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 xml:space="preserve">Sử dụng </w:t>
            </w:r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Incoterms</w:t>
            </w: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 xml:space="preserve"> 2020 trong hợp động mua bán hàng hoá quốc tế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2977" w:type="dxa"/>
          </w:tcPr>
          <w:p w14:paraId="64694F9F" w14:textId="773D5059" w:rsidR="00A94B22" w:rsidRPr="00C13E41" w:rsidRDefault="00A94B22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Tập quán thương mại quốc tế</w:t>
            </w:r>
          </w:p>
        </w:tc>
      </w:tr>
      <w:tr w:rsidR="00C13E41" w:rsidRPr="00C13E41" w14:paraId="3935B6D5" w14:textId="77777777" w:rsidTr="00CB60F0">
        <w:tc>
          <w:tcPr>
            <w:tcW w:w="708" w:type="dxa"/>
          </w:tcPr>
          <w:p w14:paraId="0BB2AB9D" w14:textId="77777777" w:rsidR="00CD3592" w:rsidRPr="00C13E41" w:rsidRDefault="00CD3592" w:rsidP="00A94B22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606E4B0C" w14:textId="2AEE532F" w:rsidR="00CD3592" w:rsidRPr="00C13E41" w:rsidRDefault="00CD3592" w:rsidP="00F839D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tiễn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quán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Incoterms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tế</w:t>
            </w:r>
            <w:proofErr w:type="spellEnd"/>
          </w:p>
        </w:tc>
        <w:tc>
          <w:tcPr>
            <w:tcW w:w="2977" w:type="dxa"/>
          </w:tcPr>
          <w:p w14:paraId="0242013A" w14:textId="79B38CAB" w:rsidR="00CD3592" w:rsidRPr="00C13E41" w:rsidRDefault="00CD3592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>Tập quán thương mại quốc tế</w:t>
            </w:r>
          </w:p>
        </w:tc>
      </w:tr>
      <w:tr w:rsidR="00CB60F0" w:rsidRPr="00C13E41" w14:paraId="0D10936B" w14:textId="77777777" w:rsidTr="00CB60F0">
        <w:tc>
          <w:tcPr>
            <w:tcW w:w="708" w:type="dxa"/>
          </w:tcPr>
          <w:p w14:paraId="2C9F5536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7794C664" w14:textId="77777777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khuôn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WTO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cam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2977" w:type="dxa"/>
          </w:tcPr>
          <w:p w14:paraId="218BD900" w14:textId="1220B4FE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B60F0" w:rsidRPr="00C13E41" w14:paraId="75B7A42B" w14:textId="77777777" w:rsidTr="00CB60F0">
        <w:tc>
          <w:tcPr>
            <w:tcW w:w="708" w:type="dxa"/>
          </w:tcPr>
          <w:p w14:paraId="4FF42F1C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65C02AB3" w14:textId="77777777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nhập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1832F397" w14:textId="32881DA3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B60F0" w:rsidRPr="00C13E41" w14:paraId="67F21906" w14:textId="77777777" w:rsidTr="00CB60F0">
        <w:tc>
          <w:tcPr>
            <w:tcW w:w="708" w:type="dxa"/>
          </w:tcPr>
          <w:p w14:paraId="365205A8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03AFD5C7" w14:textId="77777777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Châu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Âu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chỉnh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lĩnh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BA8DB4F" w14:textId="4D7F99DA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B60F0" w:rsidRPr="00C13E41" w14:paraId="4BFA48D9" w14:textId="77777777" w:rsidTr="00CB60F0">
        <w:tc>
          <w:tcPr>
            <w:tcW w:w="708" w:type="dxa"/>
          </w:tcPr>
          <w:p w14:paraId="4DB6E547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7C86B66C" w14:textId="77777777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cam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khuôn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WTO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2977" w:type="dxa"/>
          </w:tcPr>
          <w:p w14:paraId="57114113" w14:textId="71D56D4A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B60F0" w:rsidRPr="00C13E41" w14:paraId="4DA536D1" w14:textId="77777777" w:rsidTr="00CB60F0">
        <w:tc>
          <w:tcPr>
            <w:tcW w:w="708" w:type="dxa"/>
          </w:tcPr>
          <w:p w14:paraId="3B7A752D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63EE07E0" w14:textId="2837403A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13E41">
              <w:rPr>
                <w:color w:val="000000" w:themeColor="text1"/>
                <w:sz w:val="28"/>
                <w:szCs w:val="28"/>
                <w:lang w:val="vi-VN"/>
              </w:rPr>
              <w:t xml:space="preserve">Tự do hoá thương mại dịch vụ trong </w:t>
            </w:r>
            <w:r w:rsidRPr="00C13E41">
              <w:rPr>
                <w:color w:val="000000" w:themeColor="text1"/>
                <w:sz w:val="28"/>
                <w:lang w:val="vi-VN"/>
              </w:rPr>
              <w:t xml:space="preserve">khuôn khổ Hiệp định RCEP 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977" w:type="dxa"/>
          </w:tcPr>
          <w:p w14:paraId="3DB115FC" w14:textId="4B37AE76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B712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71253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13E41" w:rsidRPr="00C13E41" w14:paraId="22B774DF" w14:textId="77777777" w:rsidTr="00CB60F0">
        <w:tc>
          <w:tcPr>
            <w:tcW w:w="708" w:type="dxa"/>
          </w:tcPr>
          <w:p w14:paraId="5BC98998" w14:textId="77777777" w:rsidR="00516050" w:rsidRPr="00C13E41" w:rsidRDefault="00516050" w:rsidP="0051605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5DB0611C" w14:textId="45E939BB" w:rsidR="00516050" w:rsidRPr="00C13E41" w:rsidRDefault="00516050" w:rsidP="00F839D9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</w:rPr>
              <w:t>Hiệp</w:t>
            </w:r>
            <w:proofErr w:type="spellEnd"/>
            <w:r w:rsidRPr="00C13E4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</w:rPr>
              <w:t>định</w:t>
            </w:r>
            <w:proofErr w:type="spellEnd"/>
            <w:r w:rsidRPr="00C13E4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</w:rPr>
              <w:t>tác</w:t>
            </w:r>
            <w:proofErr w:type="spellEnd"/>
            <w:r w:rsidRPr="00C13E41">
              <w:rPr>
                <w:color w:val="000000" w:themeColor="text1"/>
                <w:sz w:val="28"/>
                <w:lang w:val="vi-VN"/>
              </w:rPr>
              <w:t xml:space="preserve"> toàn diện và tiến bộ xuyên</w:t>
            </w:r>
            <w:r w:rsidRPr="00C13E4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</w:rPr>
              <w:t>Thái</w:t>
            </w:r>
            <w:proofErr w:type="spellEnd"/>
            <w:r w:rsidRPr="00C13E4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</w:rPr>
              <w:t>Bình</w:t>
            </w:r>
            <w:proofErr w:type="spellEnd"/>
            <w:r w:rsidRPr="00C13E4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</w:rPr>
              <w:t>Dương</w:t>
            </w:r>
            <w:proofErr w:type="spellEnd"/>
            <w:r w:rsidR="00D97727">
              <w:rPr>
                <w:color w:val="000000" w:themeColor="text1"/>
                <w:sz w:val="28"/>
                <w:lang w:val="vi-VN"/>
              </w:rPr>
              <w:t xml:space="preserve"> 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="003D4D74">
              <w:rPr>
                <w:color w:val="000000" w:themeColor="text1"/>
                <w:sz w:val="28"/>
                <w:szCs w:val="28"/>
              </w:rPr>
              <w:t>M</w:t>
            </w:r>
            <w:r w:rsidRPr="00C13E41">
              <w:rPr>
                <w:color w:val="000000" w:themeColor="text1"/>
                <w:sz w:val="28"/>
                <w:szCs w:val="28"/>
              </w:rPr>
              <w:t>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28A67A8" w14:textId="4E0C80B9" w:rsidR="00516050" w:rsidRPr="00C13E41" w:rsidRDefault="0051605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B60F0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CB60F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B60F0" w:rsidRPr="00C13E41" w14:paraId="798C36DD" w14:textId="77777777" w:rsidTr="00CB60F0">
        <w:tc>
          <w:tcPr>
            <w:tcW w:w="708" w:type="dxa"/>
          </w:tcPr>
          <w:p w14:paraId="398A34D0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0618E06A" w14:textId="78E560CA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lang w:val="vi-VN"/>
              </w:rPr>
            </w:pPr>
            <w:r w:rsidRPr="00C13E41">
              <w:rPr>
                <w:color w:val="000000" w:themeColor="text1"/>
                <w:sz w:val="28"/>
                <w:lang w:val="vi-VN"/>
              </w:rPr>
              <w:t xml:space="preserve">Tự do hoá thương mại hàng hoá trong khuôn khổ Hiệp định RCEP </w:t>
            </w:r>
            <w:r w:rsidRPr="00C13E41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977" w:type="dxa"/>
          </w:tcPr>
          <w:p w14:paraId="0365F59D" w14:textId="11B90E9B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B60F0" w:rsidRPr="00C13E41" w14:paraId="636D8563" w14:textId="77777777" w:rsidTr="00CB60F0">
        <w:tc>
          <w:tcPr>
            <w:tcW w:w="708" w:type="dxa"/>
          </w:tcPr>
          <w:p w14:paraId="730B4482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12502398" w14:textId="77777777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nhập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Hiệp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sắm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phủ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WTO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thách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7723525" w14:textId="4A1BCFC4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CB60F0" w:rsidRPr="00C13E41" w14:paraId="66C593B0" w14:textId="77777777" w:rsidTr="00CB60F0">
        <w:tc>
          <w:tcPr>
            <w:tcW w:w="708" w:type="dxa"/>
          </w:tcPr>
          <w:p w14:paraId="30B92170" w14:textId="77777777" w:rsidR="00CB60F0" w:rsidRPr="00C13E41" w:rsidRDefault="00CB60F0" w:rsidP="00CB60F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49448E84" w14:textId="77777777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Qui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mại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khuôn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khổ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WTO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Nam.</w:t>
            </w:r>
          </w:p>
        </w:tc>
        <w:tc>
          <w:tcPr>
            <w:tcW w:w="2977" w:type="dxa"/>
          </w:tcPr>
          <w:p w14:paraId="661C4D12" w14:textId="36356BC7" w:rsidR="00CB60F0" w:rsidRPr="00C13E41" w:rsidRDefault="00CB60F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mại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957FE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7FEF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</w:p>
        </w:tc>
      </w:tr>
      <w:tr w:rsidR="00516050" w:rsidRPr="00C13E41" w14:paraId="66E0E95E" w14:textId="77777777" w:rsidTr="00CB60F0">
        <w:tc>
          <w:tcPr>
            <w:tcW w:w="708" w:type="dxa"/>
          </w:tcPr>
          <w:p w14:paraId="44BFB335" w14:textId="77777777" w:rsidR="00516050" w:rsidRPr="00C13E41" w:rsidRDefault="00516050" w:rsidP="00516050">
            <w:pPr>
              <w:numPr>
                <w:ilvl w:val="0"/>
                <w:numId w:val="1"/>
              </w:num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1" w:type="dxa"/>
          </w:tcPr>
          <w:p w14:paraId="094AE428" w14:textId="77777777" w:rsidR="00516050" w:rsidRPr="00C13E41" w:rsidRDefault="00516050" w:rsidP="00F839D9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C13E41">
              <w:rPr>
                <w:color w:val="000000" w:themeColor="text1"/>
                <w:sz w:val="28"/>
                <w:szCs w:val="28"/>
              </w:rPr>
              <w:t>ĐỀ TÀI KHÁC (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giảng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3E41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13E41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2977" w:type="dxa"/>
          </w:tcPr>
          <w:p w14:paraId="191F753A" w14:textId="77777777" w:rsidR="00516050" w:rsidRPr="00C13E41" w:rsidRDefault="00516050" w:rsidP="00CB60F0">
            <w:pPr>
              <w:spacing w:before="40" w:after="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5D6596EF" w14:textId="77777777" w:rsidR="00AE51BA" w:rsidRPr="00C13E41" w:rsidRDefault="00AE51BA" w:rsidP="00AE51BA">
      <w:pPr>
        <w:ind w:left="360"/>
        <w:jc w:val="both"/>
        <w:rPr>
          <w:color w:val="000000" w:themeColor="text1"/>
          <w:sz w:val="28"/>
          <w:szCs w:val="28"/>
        </w:rPr>
      </w:pPr>
    </w:p>
    <w:p w14:paraId="1D5C3C39" w14:textId="77777777" w:rsidR="00892683" w:rsidRPr="00C13E41" w:rsidRDefault="00FF5197" w:rsidP="00CB60F0">
      <w:pPr>
        <w:ind w:left="360" w:right="-138" w:hanging="360"/>
        <w:jc w:val="both"/>
        <w:rPr>
          <w:b/>
          <w:color w:val="000000" w:themeColor="text1"/>
          <w:sz w:val="28"/>
          <w:u w:val="single"/>
        </w:rPr>
      </w:pPr>
      <w:proofErr w:type="spellStart"/>
      <w:r w:rsidRPr="00C13E41">
        <w:rPr>
          <w:b/>
          <w:color w:val="000000" w:themeColor="text1"/>
          <w:sz w:val="28"/>
          <w:u w:val="single"/>
        </w:rPr>
        <w:t>Lưu</w:t>
      </w:r>
      <w:proofErr w:type="spellEnd"/>
      <w:r w:rsidRPr="00C13E41">
        <w:rPr>
          <w:b/>
          <w:color w:val="000000" w:themeColor="text1"/>
          <w:sz w:val="28"/>
          <w:u w:val="single"/>
        </w:rPr>
        <w:t xml:space="preserve"> ý: </w:t>
      </w:r>
    </w:p>
    <w:p w14:paraId="767F11AC" w14:textId="77777777" w:rsidR="00FF5197" w:rsidRPr="00C13E41" w:rsidRDefault="00892683" w:rsidP="00CB60F0">
      <w:pPr>
        <w:ind w:right="-138"/>
        <w:jc w:val="both"/>
        <w:rPr>
          <w:i/>
          <w:color w:val="000000" w:themeColor="text1"/>
          <w:sz w:val="28"/>
        </w:rPr>
      </w:pPr>
      <w:r w:rsidRPr="00C13E41">
        <w:rPr>
          <w:i/>
          <w:color w:val="000000" w:themeColor="text1"/>
          <w:sz w:val="28"/>
        </w:rPr>
        <w:t xml:space="preserve">1. </w:t>
      </w:r>
      <w:proofErr w:type="spellStart"/>
      <w:r w:rsidR="00FF5197" w:rsidRPr="00C13E41">
        <w:rPr>
          <w:i/>
          <w:color w:val="000000" w:themeColor="text1"/>
          <w:sz w:val="28"/>
        </w:rPr>
        <w:t>Điểm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</w:t>
      </w:r>
      <w:proofErr w:type="spellStart"/>
      <w:r w:rsidR="00FF5197" w:rsidRPr="00C13E41">
        <w:rPr>
          <w:i/>
          <w:color w:val="000000" w:themeColor="text1"/>
          <w:sz w:val="28"/>
        </w:rPr>
        <w:t>của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</w:t>
      </w:r>
      <w:proofErr w:type="spellStart"/>
      <w:r w:rsidR="00FF5197" w:rsidRPr="00C13E41">
        <w:rPr>
          <w:i/>
          <w:color w:val="000000" w:themeColor="text1"/>
          <w:sz w:val="28"/>
        </w:rPr>
        <w:t>học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</w:t>
      </w:r>
      <w:proofErr w:type="spellStart"/>
      <w:r w:rsidR="00FF5197" w:rsidRPr="00C13E41">
        <w:rPr>
          <w:i/>
          <w:color w:val="000000" w:themeColor="text1"/>
          <w:sz w:val="28"/>
        </w:rPr>
        <w:t>phần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</w:t>
      </w:r>
      <w:proofErr w:type="spellStart"/>
      <w:r w:rsidR="00FF5197" w:rsidRPr="00C13E41">
        <w:rPr>
          <w:i/>
          <w:color w:val="000000" w:themeColor="text1"/>
          <w:sz w:val="28"/>
        </w:rPr>
        <w:t>viết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KLTN </w:t>
      </w:r>
      <w:proofErr w:type="spellStart"/>
      <w:r w:rsidR="00FF5197" w:rsidRPr="00C13E41">
        <w:rPr>
          <w:i/>
          <w:color w:val="000000" w:themeColor="text1"/>
          <w:sz w:val="28"/>
        </w:rPr>
        <w:t>đạt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</w:t>
      </w:r>
      <w:proofErr w:type="spellStart"/>
      <w:r w:rsidR="00FF5197" w:rsidRPr="00C13E41">
        <w:rPr>
          <w:i/>
          <w:color w:val="000000" w:themeColor="text1"/>
          <w:sz w:val="28"/>
        </w:rPr>
        <w:t>từ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3,0 </w:t>
      </w:r>
      <w:proofErr w:type="spellStart"/>
      <w:r w:rsidR="00FF5197" w:rsidRPr="00C13E41">
        <w:rPr>
          <w:i/>
          <w:color w:val="000000" w:themeColor="text1"/>
          <w:sz w:val="28"/>
        </w:rPr>
        <w:t>điểm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(thang </w:t>
      </w:r>
      <w:proofErr w:type="spellStart"/>
      <w:r w:rsidR="00FF5197" w:rsidRPr="00C13E41">
        <w:rPr>
          <w:i/>
          <w:color w:val="000000" w:themeColor="text1"/>
          <w:sz w:val="28"/>
        </w:rPr>
        <w:t>điểm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4) </w:t>
      </w:r>
      <w:proofErr w:type="spellStart"/>
      <w:r w:rsidR="00FF5197" w:rsidRPr="00C13E41">
        <w:rPr>
          <w:i/>
          <w:color w:val="000000" w:themeColor="text1"/>
          <w:sz w:val="28"/>
        </w:rPr>
        <w:t>trở</w:t>
      </w:r>
      <w:proofErr w:type="spellEnd"/>
      <w:r w:rsidR="00FF5197" w:rsidRPr="00C13E41">
        <w:rPr>
          <w:i/>
          <w:color w:val="000000" w:themeColor="text1"/>
          <w:sz w:val="28"/>
        </w:rPr>
        <w:t xml:space="preserve"> </w:t>
      </w:r>
      <w:proofErr w:type="spellStart"/>
      <w:r w:rsidR="00FF5197" w:rsidRPr="00C13E41">
        <w:rPr>
          <w:i/>
          <w:color w:val="000000" w:themeColor="text1"/>
          <w:sz w:val="28"/>
        </w:rPr>
        <w:t>lên</w:t>
      </w:r>
      <w:proofErr w:type="spellEnd"/>
      <w:r w:rsidR="00FF5197" w:rsidRPr="00C13E41">
        <w:rPr>
          <w:i/>
          <w:color w:val="000000" w:themeColor="text1"/>
          <w:sz w:val="28"/>
        </w:rPr>
        <w:t>.</w:t>
      </w:r>
    </w:p>
    <w:p w14:paraId="03D5F1D1" w14:textId="10DDEF0E" w:rsidR="00892683" w:rsidRPr="00970A7E" w:rsidRDefault="00892683" w:rsidP="00CB60F0">
      <w:pPr>
        <w:ind w:right="-138"/>
        <w:jc w:val="both"/>
        <w:rPr>
          <w:b/>
          <w:bCs/>
          <w:i/>
          <w:color w:val="000000" w:themeColor="text1"/>
          <w:sz w:val="28"/>
        </w:rPr>
      </w:pPr>
      <w:r w:rsidRPr="00C13E41">
        <w:rPr>
          <w:i/>
          <w:color w:val="000000" w:themeColor="text1"/>
          <w:sz w:val="28"/>
        </w:rPr>
        <w:t xml:space="preserve">2. </w:t>
      </w:r>
      <w:proofErr w:type="spellStart"/>
      <w:r w:rsidRPr="00C13E41">
        <w:rPr>
          <w:i/>
          <w:color w:val="000000" w:themeColor="text1"/>
          <w:sz w:val="28"/>
        </w:rPr>
        <w:t>Để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tạo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điều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kiện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thuận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lợi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cho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sinh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viên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khi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viết</w:t>
      </w:r>
      <w:proofErr w:type="spellEnd"/>
      <w:r w:rsidRPr="00C13E41">
        <w:rPr>
          <w:i/>
          <w:color w:val="000000" w:themeColor="text1"/>
          <w:sz w:val="28"/>
        </w:rPr>
        <w:t xml:space="preserve"> KLTN, </w:t>
      </w:r>
      <w:proofErr w:type="spellStart"/>
      <w:r w:rsidRPr="00C13E41">
        <w:rPr>
          <w:i/>
          <w:color w:val="000000" w:themeColor="text1"/>
          <w:sz w:val="28"/>
        </w:rPr>
        <w:t>sau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khi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đăng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ký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viết</w:t>
      </w:r>
      <w:proofErr w:type="spellEnd"/>
      <w:r w:rsidRPr="00C13E41">
        <w:rPr>
          <w:i/>
          <w:color w:val="000000" w:themeColor="text1"/>
          <w:sz w:val="28"/>
        </w:rPr>
        <w:t xml:space="preserve"> KLTN </w:t>
      </w:r>
      <w:proofErr w:type="spellStart"/>
      <w:r w:rsidRPr="00C13E41">
        <w:rPr>
          <w:i/>
          <w:color w:val="000000" w:themeColor="text1"/>
          <w:sz w:val="28"/>
        </w:rPr>
        <w:t>trực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tuyến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theo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Thông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báo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của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Trường</w:t>
      </w:r>
      <w:proofErr w:type="spellEnd"/>
      <w:r w:rsidRPr="00C13E41">
        <w:rPr>
          <w:i/>
          <w:color w:val="000000" w:themeColor="text1"/>
          <w:sz w:val="28"/>
        </w:rPr>
        <w:t xml:space="preserve">, </w:t>
      </w:r>
      <w:proofErr w:type="spellStart"/>
      <w:r w:rsidRPr="00C13E41">
        <w:rPr>
          <w:i/>
          <w:color w:val="000000" w:themeColor="text1"/>
          <w:sz w:val="28"/>
        </w:rPr>
        <w:t>sinh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viên</w:t>
      </w:r>
      <w:proofErr w:type="spellEnd"/>
      <w:r w:rsidRPr="00C13E41">
        <w:rPr>
          <w:i/>
          <w:color w:val="000000" w:themeColor="text1"/>
          <w:sz w:val="28"/>
        </w:rPr>
        <w:t xml:space="preserve"> email </w:t>
      </w:r>
      <w:proofErr w:type="spellStart"/>
      <w:r w:rsidRPr="00C13E41">
        <w:rPr>
          <w:i/>
          <w:color w:val="000000" w:themeColor="text1"/>
          <w:sz w:val="28"/>
        </w:rPr>
        <w:t>cho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Bộ</w:t>
      </w:r>
      <w:proofErr w:type="spellEnd"/>
      <w:r w:rsidRPr="00C13E41">
        <w:rPr>
          <w:i/>
          <w:color w:val="000000" w:themeColor="text1"/>
          <w:sz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</w:rPr>
        <w:t>môn</w:t>
      </w:r>
      <w:proofErr w:type="spellEnd"/>
      <w:r w:rsidR="007A7DC3" w:rsidRPr="00C13E41">
        <w:rPr>
          <w:i/>
          <w:color w:val="000000" w:themeColor="text1"/>
          <w:sz w:val="28"/>
          <w:lang w:val="vi-VN"/>
        </w:rPr>
        <w:t xml:space="preserve"> </w:t>
      </w:r>
      <w:r w:rsidR="007A7DC3" w:rsidRPr="00B978B9">
        <w:rPr>
          <w:i/>
          <w:color w:val="000000" w:themeColor="text1"/>
          <w:sz w:val="28"/>
          <w:lang w:val="vi-VN"/>
        </w:rPr>
        <w:t>(pltmhhdvqt@gmail.com)</w:t>
      </w:r>
      <w:r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các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nội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dung </w:t>
      </w:r>
      <w:proofErr w:type="spellStart"/>
      <w:r w:rsidR="00162B8C" w:rsidRPr="00B978B9">
        <w:rPr>
          <w:i/>
          <w:color w:val="000000" w:themeColor="text1"/>
          <w:sz w:val="28"/>
        </w:rPr>
        <w:t>sau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: </w:t>
      </w:r>
      <w:proofErr w:type="spellStart"/>
      <w:r w:rsidR="00162B8C" w:rsidRPr="00B978B9">
        <w:rPr>
          <w:i/>
          <w:color w:val="000000" w:themeColor="text1"/>
          <w:sz w:val="28"/>
        </w:rPr>
        <w:t>i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) </w:t>
      </w:r>
      <w:proofErr w:type="spellStart"/>
      <w:r w:rsidR="00162B8C" w:rsidRPr="00B978B9">
        <w:rPr>
          <w:i/>
          <w:color w:val="000000" w:themeColor="text1"/>
          <w:sz w:val="28"/>
        </w:rPr>
        <w:t>Tên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, </w:t>
      </w:r>
      <w:proofErr w:type="spellStart"/>
      <w:r w:rsidR="00162B8C" w:rsidRPr="00B978B9">
        <w:rPr>
          <w:i/>
          <w:color w:val="000000" w:themeColor="text1"/>
          <w:sz w:val="28"/>
        </w:rPr>
        <w:t>mã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số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sinh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viên</w:t>
      </w:r>
      <w:proofErr w:type="spellEnd"/>
      <w:r w:rsidR="00EA621F" w:rsidRPr="00B978B9">
        <w:rPr>
          <w:i/>
          <w:color w:val="000000" w:themeColor="text1"/>
          <w:sz w:val="28"/>
          <w:lang w:val="vi-VN"/>
        </w:rPr>
        <w:t xml:space="preserve">, </w:t>
      </w:r>
      <w:proofErr w:type="spellStart"/>
      <w:r w:rsidR="00EA621F" w:rsidRPr="00B978B9">
        <w:rPr>
          <w:i/>
          <w:color w:val="000000" w:themeColor="text1"/>
          <w:sz w:val="28"/>
        </w:rPr>
        <w:t>thông</w:t>
      </w:r>
      <w:proofErr w:type="spellEnd"/>
      <w:r w:rsidR="00EA621F" w:rsidRPr="00B978B9">
        <w:rPr>
          <w:i/>
          <w:color w:val="000000" w:themeColor="text1"/>
          <w:sz w:val="28"/>
        </w:rPr>
        <w:t xml:space="preserve"> tin </w:t>
      </w:r>
      <w:proofErr w:type="spellStart"/>
      <w:r w:rsidR="00EA621F" w:rsidRPr="00B978B9">
        <w:rPr>
          <w:i/>
          <w:color w:val="000000" w:themeColor="text1"/>
          <w:sz w:val="28"/>
        </w:rPr>
        <w:t>liên</w:t>
      </w:r>
      <w:proofErr w:type="spellEnd"/>
      <w:r w:rsidR="00EA621F" w:rsidRPr="00B978B9">
        <w:rPr>
          <w:i/>
          <w:color w:val="000000" w:themeColor="text1"/>
          <w:sz w:val="28"/>
        </w:rPr>
        <w:t xml:space="preserve"> </w:t>
      </w:r>
      <w:proofErr w:type="spellStart"/>
      <w:r w:rsidR="00EA621F" w:rsidRPr="00B978B9">
        <w:rPr>
          <w:i/>
          <w:color w:val="000000" w:themeColor="text1"/>
          <w:sz w:val="28"/>
        </w:rPr>
        <w:t>lạc</w:t>
      </w:r>
      <w:proofErr w:type="spellEnd"/>
      <w:r w:rsidR="00EA621F" w:rsidRPr="00B978B9">
        <w:rPr>
          <w:i/>
          <w:color w:val="000000" w:themeColor="text1"/>
          <w:sz w:val="28"/>
        </w:rPr>
        <w:t xml:space="preserve"> </w:t>
      </w:r>
      <w:proofErr w:type="spellStart"/>
      <w:r w:rsidR="00EA621F" w:rsidRPr="00B978B9">
        <w:rPr>
          <w:i/>
          <w:color w:val="000000" w:themeColor="text1"/>
          <w:sz w:val="28"/>
        </w:rPr>
        <w:t>cá</w:t>
      </w:r>
      <w:proofErr w:type="spellEnd"/>
      <w:r w:rsidR="00EA621F" w:rsidRPr="00B978B9">
        <w:rPr>
          <w:i/>
          <w:color w:val="000000" w:themeColor="text1"/>
          <w:sz w:val="28"/>
        </w:rPr>
        <w:t xml:space="preserve"> </w:t>
      </w:r>
      <w:proofErr w:type="spellStart"/>
      <w:r w:rsidR="00EA621F" w:rsidRPr="00B978B9">
        <w:rPr>
          <w:i/>
          <w:color w:val="000000" w:themeColor="text1"/>
          <w:sz w:val="28"/>
        </w:rPr>
        <w:t>nhân</w:t>
      </w:r>
      <w:proofErr w:type="spellEnd"/>
      <w:r w:rsidR="00EA621F" w:rsidRPr="00B978B9">
        <w:rPr>
          <w:i/>
          <w:color w:val="000000" w:themeColor="text1"/>
          <w:sz w:val="28"/>
        </w:rPr>
        <w:t xml:space="preserve"> (email </w:t>
      </w:r>
      <w:proofErr w:type="spellStart"/>
      <w:r w:rsidR="00EA621F" w:rsidRPr="00B978B9">
        <w:rPr>
          <w:i/>
          <w:color w:val="000000" w:themeColor="text1"/>
          <w:sz w:val="28"/>
        </w:rPr>
        <w:t>và</w:t>
      </w:r>
      <w:proofErr w:type="spellEnd"/>
      <w:r w:rsidR="00EA621F" w:rsidRPr="00B978B9">
        <w:rPr>
          <w:i/>
          <w:color w:val="000000" w:themeColor="text1"/>
          <w:sz w:val="28"/>
        </w:rPr>
        <w:t xml:space="preserve"> mobile)</w:t>
      </w:r>
      <w:r w:rsidR="00EA621F" w:rsidRPr="00B978B9">
        <w:rPr>
          <w:i/>
          <w:color w:val="000000" w:themeColor="text1"/>
          <w:sz w:val="28"/>
          <w:lang w:val="vi-VN"/>
        </w:rPr>
        <w:t xml:space="preserve">; </w:t>
      </w:r>
      <w:r w:rsidR="00162B8C" w:rsidRPr="00B978B9">
        <w:rPr>
          <w:i/>
          <w:color w:val="000000" w:themeColor="text1"/>
          <w:sz w:val="28"/>
        </w:rPr>
        <w:t xml:space="preserve">ii) </w:t>
      </w:r>
      <w:proofErr w:type="spellStart"/>
      <w:r w:rsidR="00162B8C" w:rsidRPr="00B978B9">
        <w:rPr>
          <w:i/>
          <w:color w:val="000000" w:themeColor="text1"/>
          <w:sz w:val="28"/>
        </w:rPr>
        <w:t>tên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học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phần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viết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KLTN; iii) </w:t>
      </w:r>
      <w:proofErr w:type="spellStart"/>
      <w:r w:rsidR="00162B8C" w:rsidRPr="00B978B9">
        <w:rPr>
          <w:i/>
          <w:color w:val="000000" w:themeColor="text1"/>
          <w:sz w:val="28"/>
        </w:rPr>
        <w:t>đề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xuất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tên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đề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tài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KLTN; iv) </w:t>
      </w:r>
      <w:proofErr w:type="spellStart"/>
      <w:r w:rsidR="00162B8C" w:rsidRPr="00B978B9">
        <w:rPr>
          <w:i/>
          <w:color w:val="000000" w:themeColor="text1"/>
          <w:sz w:val="28"/>
        </w:rPr>
        <w:t>đề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xuất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tên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giảng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viên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hướng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dẫn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(</w:t>
      </w:r>
      <w:proofErr w:type="spellStart"/>
      <w:r w:rsidR="00162B8C" w:rsidRPr="00B978B9">
        <w:rPr>
          <w:i/>
          <w:color w:val="000000" w:themeColor="text1"/>
          <w:sz w:val="28"/>
        </w:rPr>
        <w:t>nếu</w:t>
      </w:r>
      <w:proofErr w:type="spellEnd"/>
      <w:r w:rsidR="00162B8C" w:rsidRPr="00B978B9">
        <w:rPr>
          <w:i/>
          <w:color w:val="000000" w:themeColor="text1"/>
          <w:sz w:val="28"/>
        </w:rPr>
        <w:t xml:space="preserve"> </w:t>
      </w:r>
      <w:proofErr w:type="spellStart"/>
      <w:r w:rsidR="00162B8C" w:rsidRPr="00B978B9">
        <w:rPr>
          <w:i/>
          <w:color w:val="000000" w:themeColor="text1"/>
          <w:sz w:val="28"/>
        </w:rPr>
        <w:t>có</w:t>
      </w:r>
      <w:proofErr w:type="spellEnd"/>
      <w:r w:rsidR="00162B8C" w:rsidRPr="00B978B9">
        <w:rPr>
          <w:i/>
          <w:color w:val="000000" w:themeColor="text1"/>
          <w:sz w:val="28"/>
        </w:rPr>
        <w:t>)</w:t>
      </w:r>
      <w:r w:rsidR="00EA621F" w:rsidRPr="00B978B9">
        <w:rPr>
          <w:i/>
          <w:color w:val="000000" w:themeColor="text1"/>
          <w:sz w:val="28"/>
          <w:lang w:val="vi-VN"/>
        </w:rPr>
        <w:t xml:space="preserve">. </w:t>
      </w:r>
      <w:proofErr w:type="spellStart"/>
      <w:r w:rsidR="00162B8C" w:rsidRPr="00970A7E">
        <w:rPr>
          <w:b/>
          <w:bCs/>
          <w:i/>
          <w:color w:val="000000" w:themeColor="text1"/>
          <w:sz w:val="28"/>
        </w:rPr>
        <w:t>Thời</w:t>
      </w:r>
      <w:proofErr w:type="spellEnd"/>
      <w:r w:rsidR="00162B8C" w:rsidRPr="00970A7E">
        <w:rPr>
          <w:b/>
          <w:bCs/>
          <w:i/>
          <w:color w:val="000000" w:themeColor="text1"/>
          <w:sz w:val="28"/>
        </w:rPr>
        <w:t xml:space="preserve"> </w:t>
      </w:r>
      <w:proofErr w:type="spellStart"/>
      <w:r w:rsidR="00162B8C" w:rsidRPr="00970A7E">
        <w:rPr>
          <w:b/>
          <w:bCs/>
          <w:i/>
          <w:color w:val="000000" w:themeColor="text1"/>
          <w:sz w:val="28"/>
        </w:rPr>
        <w:t>hạn</w:t>
      </w:r>
      <w:proofErr w:type="spellEnd"/>
      <w:r w:rsidR="00162B8C" w:rsidRPr="00970A7E">
        <w:rPr>
          <w:b/>
          <w:bCs/>
          <w:i/>
          <w:color w:val="000000" w:themeColor="text1"/>
          <w:sz w:val="28"/>
        </w:rPr>
        <w:t xml:space="preserve"> email: </w:t>
      </w:r>
      <w:proofErr w:type="spellStart"/>
      <w:r w:rsidR="00F2573A">
        <w:rPr>
          <w:b/>
          <w:bCs/>
          <w:i/>
          <w:color w:val="000000" w:themeColor="text1"/>
          <w:sz w:val="28"/>
        </w:rPr>
        <w:t>Từ</w:t>
      </w:r>
      <w:proofErr w:type="spellEnd"/>
      <w:r w:rsidR="00F2573A">
        <w:rPr>
          <w:b/>
          <w:bCs/>
          <w:i/>
          <w:color w:val="000000" w:themeColor="text1"/>
          <w:sz w:val="28"/>
          <w:lang w:val="vi-VN"/>
        </w:rPr>
        <w:t xml:space="preserve"> ngày 12/11-16</w:t>
      </w:r>
      <w:r w:rsidR="003D36C0" w:rsidRPr="00970A7E">
        <w:rPr>
          <w:b/>
          <w:bCs/>
          <w:i/>
          <w:color w:val="000000" w:themeColor="text1"/>
          <w:sz w:val="28"/>
        </w:rPr>
        <w:t>/</w:t>
      </w:r>
      <w:r w:rsidR="00970A7E" w:rsidRPr="00970A7E">
        <w:rPr>
          <w:b/>
          <w:bCs/>
          <w:i/>
          <w:color w:val="000000" w:themeColor="text1"/>
          <w:sz w:val="28"/>
          <w:lang w:val="vi-VN"/>
        </w:rPr>
        <w:t>1</w:t>
      </w:r>
      <w:r w:rsidR="00A368CD">
        <w:rPr>
          <w:b/>
          <w:bCs/>
          <w:i/>
          <w:color w:val="000000" w:themeColor="text1"/>
          <w:sz w:val="28"/>
          <w:lang w:val="vi-VN"/>
        </w:rPr>
        <w:t>1</w:t>
      </w:r>
      <w:r w:rsidR="003D36C0" w:rsidRPr="00970A7E">
        <w:rPr>
          <w:b/>
          <w:bCs/>
          <w:i/>
          <w:color w:val="000000" w:themeColor="text1"/>
          <w:sz w:val="28"/>
        </w:rPr>
        <w:t>/20</w:t>
      </w:r>
      <w:r w:rsidR="00681DBC">
        <w:rPr>
          <w:b/>
          <w:bCs/>
          <w:i/>
          <w:color w:val="000000" w:themeColor="text1"/>
          <w:sz w:val="28"/>
          <w:lang w:val="vi-VN"/>
        </w:rPr>
        <w:t>25</w:t>
      </w:r>
      <w:r w:rsidR="003D36C0" w:rsidRPr="00970A7E">
        <w:rPr>
          <w:b/>
          <w:bCs/>
          <w:i/>
          <w:color w:val="000000" w:themeColor="text1"/>
          <w:sz w:val="28"/>
        </w:rPr>
        <w:t>.</w:t>
      </w:r>
    </w:p>
    <w:p w14:paraId="41AA9BFE" w14:textId="77777777" w:rsidR="00FF5197" w:rsidRPr="00C13E41" w:rsidRDefault="00FF5197" w:rsidP="00FF5197">
      <w:pPr>
        <w:jc w:val="both"/>
        <w:rPr>
          <w:color w:val="000000" w:themeColor="text1"/>
          <w:sz w:val="28"/>
          <w:szCs w:val="28"/>
        </w:rPr>
      </w:pPr>
    </w:p>
    <w:p w14:paraId="492F3A89" w14:textId="73210F34" w:rsidR="00AE51BA" w:rsidRDefault="00AE51BA" w:rsidP="00CB60F0">
      <w:pPr>
        <w:ind w:left="5245"/>
        <w:jc w:val="center"/>
        <w:rPr>
          <w:i/>
          <w:color w:val="000000" w:themeColor="text1"/>
          <w:sz w:val="28"/>
          <w:szCs w:val="28"/>
          <w:lang w:val="vi-VN"/>
        </w:rPr>
      </w:pPr>
      <w:proofErr w:type="spellStart"/>
      <w:r w:rsidRPr="00C13E41">
        <w:rPr>
          <w:i/>
          <w:color w:val="000000" w:themeColor="text1"/>
          <w:sz w:val="28"/>
          <w:szCs w:val="28"/>
        </w:rPr>
        <w:t>Hà</w:t>
      </w:r>
      <w:proofErr w:type="spellEnd"/>
      <w:r w:rsidRPr="00C13E4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  <w:szCs w:val="28"/>
        </w:rPr>
        <w:t>Nội</w:t>
      </w:r>
      <w:proofErr w:type="spellEnd"/>
      <w:r w:rsidRPr="00C13E41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C13E41">
        <w:rPr>
          <w:i/>
          <w:color w:val="000000" w:themeColor="text1"/>
          <w:sz w:val="28"/>
          <w:szCs w:val="28"/>
        </w:rPr>
        <w:t>ngày</w:t>
      </w:r>
      <w:proofErr w:type="spellEnd"/>
      <w:r w:rsidRPr="00C13E41">
        <w:rPr>
          <w:i/>
          <w:color w:val="000000" w:themeColor="text1"/>
          <w:sz w:val="28"/>
          <w:szCs w:val="28"/>
          <w:lang w:val="vi-VN"/>
        </w:rPr>
        <w:t xml:space="preserve"> </w:t>
      </w:r>
      <w:r w:rsidR="00F2573A">
        <w:rPr>
          <w:i/>
          <w:color w:val="000000" w:themeColor="text1"/>
          <w:sz w:val="28"/>
          <w:szCs w:val="28"/>
          <w:lang w:val="vi-VN"/>
        </w:rPr>
        <w:t>02</w:t>
      </w:r>
      <w:r w:rsidRPr="00C13E4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13E41">
        <w:rPr>
          <w:i/>
          <w:color w:val="000000" w:themeColor="text1"/>
          <w:sz w:val="28"/>
          <w:szCs w:val="28"/>
        </w:rPr>
        <w:t>tháng</w:t>
      </w:r>
      <w:proofErr w:type="spellEnd"/>
      <w:r w:rsidRPr="00C13E41">
        <w:rPr>
          <w:i/>
          <w:color w:val="000000" w:themeColor="text1"/>
          <w:sz w:val="28"/>
          <w:szCs w:val="28"/>
          <w:lang w:val="vi-VN"/>
        </w:rPr>
        <w:t xml:space="preserve"> </w:t>
      </w:r>
      <w:r w:rsidR="00601368">
        <w:rPr>
          <w:i/>
          <w:color w:val="000000" w:themeColor="text1"/>
          <w:sz w:val="28"/>
          <w:szCs w:val="28"/>
          <w:lang w:val="vi-VN"/>
        </w:rPr>
        <w:t>1</w:t>
      </w:r>
      <w:r w:rsidR="00A368CD">
        <w:rPr>
          <w:i/>
          <w:color w:val="000000" w:themeColor="text1"/>
          <w:sz w:val="28"/>
          <w:szCs w:val="28"/>
          <w:lang w:val="vi-VN"/>
        </w:rPr>
        <w:t>1</w:t>
      </w:r>
      <w:r w:rsidRPr="00C13E41">
        <w:rPr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C13E41">
        <w:rPr>
          <w:i/>
          <w:color w:val="000000" w:themeColor="text1"/>
          <w:sz w:val="28"/>
          <w:szCs w:val="28"/>
        </w:rPr>
        <w:t>năm</w:t>
      </w:r>
      <w:proofErr w:type="spellEnd"/>
      <w:r w:rsidRPr="00C13E41">
        <w:rPr>
          <w:i/>
          <w:color w:val="000000" w:themeColor="text1"/>
          <w:sz w:val="28"/>
          <w:szCs w:val="28"/>
        </w:rPr>
        <w:t xml:space="preserve"> </w:t>
      </w:r>
      <w:r w:rsidR="00C36B2A" w:rsidRPr="00C13E41">
        <w:rPr>
          <w:i/>
          <w:color w:val="000000" w:themeColor="text1"/>
          <w:sz w:val="28"/>
          <w:szCs w:val="28"/>
          <w:lang w:val="vi-VN"/>
        </w:rPr>
        <w:t>20</w:t>
      </w:r>
      <w:r w:rsidR="00A044BB" w:rsidRPr="00C13E41">
        <w:rPr>
          <w:i/>
          <w:color w:val="000000" w:themeColor="text1"/>
          <w:sz w:val="28"/>
          <w:szCs w:val="28"/>
          <w:lang w:val="vi-VN"/>
        </w:rPr>
        <w:t>2</w:t>
      </w:r>
      <w:r w:rsidR="00F2573A">
        <w:rPr>
          <w:i/>
          <w:color w:val="000000" w:themeColor="text1"/>
          <w:sz w:val="28"/>
          <w:szCs w:val="28"/>
          <w:lang w:val="vi-VN"/>
        </w:rPr>
        <w:t>5</w:t>
      </w:r>
    </w:p>
    <w:p w14:paraId="0F2FBBD7" w14:textId="77777777" w:rsidR="00A368CD" w:rsidRPr="00C13E41" w:rsidRDefault="00A368CD" w:rsidP="00CB60F0">
      <w:pPr>
        <w:ind w:left="5245"/>
        <w:jc w:val="center"/>
        <w:rPr>
          <w:i/>
          <w:color w:val="000000" w:themeColor="text1"/>
          <w:sz w:val="28"/>
          <w:szCs w:val="28"/>
          <w:lang w:val="vi-VN"/>
        </w:rPr>
      </w:pPr>
    </w:p>
    <w:tbl>
      <w:tblPr>
        <w:tblW w:w="10773" w:type="dxa"/>
        <w:jc w:val="right"/>
        <w:tblLook w:val="01E0" w:firstRow="1" w:lastRow="1" w:firstColumn="1" w:lastColumn="1" w:noHBand="0" w:noVBand="0"/>
      </w:tblPr>
      <w:tblGrid>
        <w:gridCol w:w="6438"/>
        <w:gridCol w:w="4335"/>
      </w:tblGrid>
      <w:tr w:rsidR="00B978B9" w:rsidRPr="00F10720" w14:paraId="6F82FE08" w14:textId="77777777" w:rsidTr="00B978B9">
        <w:trPr>
          <w:trHeight w:val="2398"/>
          <w:jc w:val="right"/>
        </w:trPr>
        <w:tc>
          <w:tcPr>
            <w:tcW w:w="6438" w:type="dxa"/>
          </w:tcPr>
          <w:p w14:paraId="50BDC48B" w14:textId="420A5EAC" w:rsidR="00B978B9" w:rsidRPr="00F10720" w:rsidRDefault="003744A1" w:rsidP="00AE7A0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LÃNH ĐẠO</w:t>
            </w:r>
            <w:r w:rsidR="00B978B9" w:rsidRPr="00F10720">
              <w:rPr>
                <w:b/>
                <w:sz w:val="26"/>
                <w:szCs w:val="26"/>
                <w:lang w:val="vi-VN"/>
              </w:rPr>
              <w:t xml:space="preserve"> KHOA</w:t>
            </w:r>
          </w:p>
          <w:p w14:paraId="1B29FBBD" w14:textId="77777777" w:rsidR="00B978B9" w:rsidRPr="00F10720" w:rsidRDefault="00B978B9" w:rsidP="00AE7A0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</w:p>
          <w:p w14:paraId="34AB4313" w14:textId="77777777" w:rsidR="00B978B9" w:rsidRPr="00F10720" w:rsidRDefault="00B978B9" w:rsidP="00AE7A03">
            <w:pPr>
              <w:spacing w:line="336" w:lineRule="auto"/>
              <w:rPr>
                <w:b/>
                <w:sz w:val="26"/>
                <w:szCs w:val="26"/>
              </w:rPr>
            </w:pPr>
          </w:p>
          <w:p w14:paraId="2938F955" w14:textId="77777777" w:rsidR="00B978B9" w:rsidRPr="00F10720" w:rsidRDefault="00B978B9" w:rsidP="00AE7A0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</w:p>
          <w:p w14:paraId="09C20C05" w14:textId="22DEC7C0" w:rsidR="00B978B9" w:rsidRPr="00F10720" w:rsidRDefault="00B978B9" w:rsidP="00AE7A0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35" w:type="dxa"/>
          </w:tcPr>
          <w:p w14:paraId="51383FE8" w14:textId="6A28985D" w:rsidR="00B978B9" w:rsidRPr="00F10720" w:rsidRDefault="00A368CD" w:rsidP="00AE7A03">
            <w:pPr>
              <w:spacing w:line="33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PHỤ TRÁCH </w:t>
            </w:r>
            <w:r w:rsidR="00B978B9" w:rsidRPr="00F10720">
              <w:rPr>
                <w:b/>
                <w:sz w:val="26"/>
                <w:szCs w:val="26"/>
                <w:lang w:val="vi-VN"/>
              </w:rPr>
              <w:t>BỘ MÔN</w:t>
            </w:r>
          </w:p>
          <w:p w14:paraId="75F87714" w14:textId="77777777" w:rsidR="00B978B9" w:rsidRPr="00F10720" w:rsidRDefault="00B978B9" w:rsidP="00AE7A0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</w:p>
          <w:p w14:paraId="57FD2543" w14:textId="326A09DE" w:rsidR="00B978B9" w:rsidRDefault="00B978B9" w:rsidP="00AE7A03">
            <w:pPr>
              <w:spacing w:line="336" w:lineRule="auto"/>
              <w:rPr>
                <w:b/>
                <w:sz w:val="26"/>
                <w:szCs w:val="26"/>
              </w:rPr>
            </w:pPr>
          </w:p>
          <w:p w14:paraId="29095A93" w14:textId="77777777" w:rsidR="00A368CD" w:rsidRPr="00F10720" w:rsidRDefault="00A368CD" w:rsidP="00AE7A03">
            <w:pPr>
              <w:spacing w:line="336" w:lineRule="auto"/>
              <w:rPr>
                <w:b/>
                <w:sz w:val="26"/>
                <w:szCs w:val="26"/>
              </w:rPr>
            </w:pPr>
          </w:p>
          <w:p w14:paraId="258B63DE" w14:textId="4306A9ED" w:rsidR="00B978B9" w:rsidRPr="00F10720" w:rsidRDefault="00B978B9" w:rsidP="00AE7A03">
            <w:pPr>
              <w:spacing w:line="33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F10720">
              <w:rPr>
                <w:b/>
                <w:sz w:val="26"/>
                <w:szCs w:val="26"/>
                <w:lang w:val="vi-VN"/>
              </w:rPr>
              <w:t>Phạm Thanh Hằng</w:t>
            </w:r>
          </w:p>
        </w:tc>
      </w:tr>
    </w:tbl>
    <w:p w14:paraId="3E5E0D74" w14:textId="4A87A47A" w:rsidR="008C734A" w:rsidRPr="00C13E41" w:rsidRDefault="007E7E55" w:rsidP="00CB60F0">
      <w:pPr>
        <w:ind w:left="5245"/>
        <w:jc w:val="center"/>
        <w:rPr>
          <w:b/>
          <w:color w:val="000000" w:themeColor="text1"/>
          <w:sz w:val="28"/>
          <w:szCs w:val="28"/>
          <w:lang w:val="vi-VN"/>
        </w:rPr>
      </w:pPr>
    </w:p>
    <w:sectPr w:rsidR="008C734A" w:rsidRPr="00C13E41" w:rsidSect="001F1A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9CDC2" w14:textId="77777777" w:rsidR="007E7E55" w:rsidRDefault="007E7E55" w:rsidP="00EA5A45">
      <w:r>
        <w:separator/>
      </w:r>
    </w:p>
  </w:endnote>
  <w:endnote w:type="continuationSeparator" w:id="0">
    <w:p w14:paraId="2D0BD4A8" w14:textId="77777777" w:rsidR="007E7E55" w:rsidRDefault="007E7E55" w:rsidP="00EA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872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0FB99" w14:textId="4940B5AA" w:rsidR="00EA5A45" w:rsidRDefault="00EA5A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0ED5B" w14:textId="77777777" w:rsidR="00EA5A45" w:rsidRDefault="00EA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56E9E" w14:textId="77777777" w:rsidR="007E7E55" w:rsidRDefault="007E7E55" w:rsidP="00EA5A45">
      <w:r>
        <w:separator/>
      </w:r>
    </w:p>
  </w:footnote>
  <w:footnote w:type="continuationSeparator" w:id="0">
    <w:p w14:paraId="30E7BB24" w14:textId="77777777" w:rsidR="007E7E55" w:rsidRDefault="007E7E55" w:rsidP="00EA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467"/>
    <w:multiLevelType w:val="hybridMultilevel"/>
    <w:tmpl w:val="58B23652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BA"/>
    <w:rsid w:val="00071D9D"/>
    <w:rsid w:val="00097EB1"/>
    <w:rsid w:val="00113410"/>
    <w:rsid w:val="00154979"/>
    <w:rsid w:val="00162B8C"/>
    <w:rsid w:val="00180C56"/>
    <w:rsid w:val="001B0C36"/>
    <w:rsid w:val="001F1A55"/>
    <w:rsid w:val="00200413"/>
    <w:rsid w:val="00210B0E"/>
    <w:rsid w:val="002362B1"/>
    <w:rsid w:val="002462B7"/>
    <w:rsid w:val="002D6648"/>
    <w:rsid w:val="00323361"/>
    <w:rsid w:val="003360D0"/>
    <w:rsid w:val="003744A1"/>
    <w:rsid w:val="003B4440"/>
    <w:rsid w:val="003D36C0"/>
    <w:rsid w:val="003D4D74"/>
    <w:rsid w:val="003E4565"/>
    <w:rsid w:val="003F66B2"/>
    <w:rsid w:val="00495B72"/>
    <w:rsid w:val="004C0E80"/>
    <w:rsid w:val="005115BC"/>
    <w:rsid w:val="00516050"/>
    <w:rsid w:val="005168FF"/>
    <w:rsid w:val="00532B0E"/>
    <w:rsid w:val="005B6343"/>
    <w:rsid w:val="00601368"/>
    <w:rsid w:val="00653095"/>
    <w:rsid w:val="00681DBC"/>
    <w:rsid w:val="006C05DC"/>
    <w:rsid w:val="006F1FA8"/>
    <w:rsid w:val="00737598"/>
    <w:rsid w:val="007A25C8"/>
    <w:rsid w:val="007A493F"/>
    <w:rsid w:val="007A5494"/>
    <w:rsid w:val="007A7DC3"/>
    <w:rsid w:val="007D1CE3"/>
    <w:rsid w:val="007E7E55"/>
    <w:rsid w:val="00847345"/>
    <w:rsid w:val="0085402E"/>
    <w:rsid w:val="0087473A"/>
    <w:rsid w:val="00892683"/>
    <w:rsid w:val="008F5333"/>
    <w:rsid w:val="00961AF7"/>
    <w:rsid w:val="00970A7E"/>
    <w:rsid w:val="009801AB"/>
    <w:rsid w:val="009B0ACC"/>
    <w:rsid w:val="009F5E37"/>
    <w:rsid w:val="00A044BB"/>
    <w:rsid w:val="00A368CD"/>
    <w:rsid w:val="00A94B22"/>
    <w:rsid w:val="00AE51BA"/>
    <w:rsid w:val="00B21169"/>
    <w:rsid w:val="00B83FD6"/>
    <w:rsid w:val="00B978B9"/>
    <w:rsid w:val="00BB05C7"/>
    <w:rsid w:val="00C13E41"/>
    <w:rsid w:val="00C36B2A"/>
    <w:rsid w:val="00CA1962"/>
    <w:rsid w:val="00CB60F0"/>
    <w:rsid w:val="00CD2502"/>
    <w:rsid w:val="00CD3592"/>
    <w:rsid w:val="00D97727"/>
    <w:rsid w:val="00E17EEA"/>
    <w:rsid w:val="00E21D4E"/>
    <w:rsid w:val="00EA5A45"/>
    <w:rsid w:val="00EA621F"/>
    <w:rsid w:val="00F2573A"/>
    <w:rsid w:val="00F37117"/>
    <w:rsid w:val="00F37628"/>
    <w:rsid w:val="00F47FB2"/>
    <w:rsid w:val="00F67A98"/>
    <w:rsid w:val="00F83497"/>
    <w:rsid w:val="00F839D9"/>
    <w:rsid w:val="00FC7AB1"/>
    <w:rsid w:val="00FD4122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2539"/>
  <w15:docId w15:val="{772CF1DA-6EB8-E34F-81BE-BB5F2DB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59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7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A98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A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A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9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01A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5A45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5A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5A45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5A4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168F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CD3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7EF0A2-F6C6-4893-900D-92B14EC4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Lê Thị Tuyết Mai</cp:lastModifiedBy>
  <cp:revision>20</cp:revision>
  <cp:lastPrinted>2023-08-08T02:37:00Z</cp:lastPrinted>
  <dcterms:created xsi:type="dcterms:W3CDTF">2022-11-14T07:31:00Z</dcterms:created>
  <dcterms:modified xsi:type="dcterms:W3CDTF">2025-11-05T04:14:00Z</dcterms:modified>
</cp:coreProperties>
</file>